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Garamond" w:cs="Garamond" w:eastAsia="Garamond" w:hAnsi="Garamond"/>
          <w:sz w:val="24"/>
          <w:szCs w:val="24"/>
          <w:highlight w:val="yellow"/>
        </w:rPr>
      </w:pPr>
      <w:r w:rsidDel="00000000" w:rsidR="00000000" w:rsidRPr="00000000">
        <w:rPr>
          <w:rFonts w:ascii="Garamond" w:cs="Garamond" w:eastAsia="Garamond" w:hAnsi="Garamond"/>
          <w:b w:val="1"/>
          <w:bCs w:val="1"/>
          <w:sz w:val="24"/>
          <w:szCs w:val="24"/>
          <w:highlight w:val="yellow"/>
          <w:rtl w:val="0"/>
        </w:rPr>
        <w:t xml:space="preserve">PLEASE ADD YOUR LETTERHEAD AND SEND EMAIL TO </w:t>
      </w:r>
      <w:hyperlink r:id="rId6">
        <w:r w:rsidDel="00000000" w:rsidR="00000000" w:rsidRPr="00000000">
          <w:rPr>
            <w:rFonts w:ascii="Garamond" w:cs="Garamond" w:eastAsia="Garamond" w:hAnsi="Garamond"/>
            <w:b w:val="1"/>
            <w:bCs w:val="1"/>
            <w:color w:val="1155cc"/>
            <w:sz w:val="24"/>
            <w:szCs w:val="24"/>
            <w:highlight w:val="yellow"/>
            <w:u w:val="single"/>
            <w:rtl w:val="0"/>
          </w:rPr>
          <w:t xml:space="preserve">Robert.Cruz@sen.ca.gov</w:t>
        </w:r>
      </w:hyperlink>
      <w:r w:rsidDel="00000000" w:rsidR="00000000" w:rsidRPr="00000000">
        <w:rPr>
          <w:rFonts w:ascii="Garamond" w:cs="Garamond" w:eastAsia="Garamond" w:hAnsi="Garamond"/>
          <w:b w:val="1"/>
          <w:bCs w:val="1"/>
          <w:sz w:val="24"/>
          <w:szCs w:val="24"/>
          <w:highlight w:val="yellow"/>
          <w:rtl w:val="0"/>
        </w:rPr>
        <w:tab/>
        <w:t xml:space="preserve">and SUBMIT TO </w:t>
      </w:r>
      <w:hyperlink r:id="rId7">
        <w:r w:rsidDel="00000000" w:rsidR="00000000" w:rsidRPr="00000000">
          <w:rPr>
            <w:rFonts w:ascii="Garamond" w:cs="Garamond" w:eastAsia="Garamond" w:hAnsi="Garamond"/>
            <w:color w:val="0000ff"/>
            <w:highlight w:val="yellow"/>
            <w:u w:val="single"/>
            <w:rtl w:val="0"/>
          </w:rPr>
          <w:t xml:space="preserve">https://calegislation.lc.ca.gov/Advocates/</w:t>
        </w:r>
      </w:hyperlink>
      <w:r w:rsidDel="00000000" w:rsidR="00000000" w:rsidRPr="00000000">
        <w:rPr>
          <w:rtl w:val="0"/>
        </w:rPr>
      </w:r>
    </w:p>
    <w:p w:rsidR="00000000" w:rsidDel="00000000" w:rsidP="00000000" w:rsidRDefault="00000000" w:rsidRPr="00000000" w14:paraId="00000002">
      <w:pPr>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highlight w:val="yellow"/>
          <w:rtl w:val="0"/>
        </w:rPr>
        <w:t xml:space="preserve">DATE,</w:t>
      </w:r>
      <w:r w:rsidDel="00000000" w:rsidR="00000000" w:rsidRPr="00000000">
        <w:rPr>
          <w:rFonts w:ascii="Garamond" w:cs="Garamond" w:eastAsia="Garamond" w:hAnsi="Garamond"/>
          <w:sz w:val="24"/>
          <w:szCs w:val="24"/>
          <w:rtl w:val="0"/>
        </w:rPr>
        <w:t xml:space="preserve"> 2026</w:t>
      </w:r>
    </w:p>
    <w:p w:rsidR="00000000" w:rsidDel="00000000" w:rsidP="00000000" w:rsidRDefault="00000000" w:rsidRPr="00000000" w14:paraId="00000003">
      <w:pPr>
        <w:spacing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4">
      <w:pPr>
        <w:shd w:fill="ffffff" w:val="clear"/>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The Honorable Tim Grayson</w:t>
      </w:r>
    </w:p>
    <w:p w:rsidR="00000000" w:rsidDel="00000000" w:rsidP="00000000" w:rsidRDefault="00000000" w:rsidRPr="00000000" w14:paraId="00000005">
      <w:pPr>
        <w:shd w:fill="ffffff" w:val="clear"/>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California State Senate </w:t>
      </w:r>
    </w:p>
    <w:p w:rsidR="00000000" w:rsidDel="00000000" w:rsidP="00000000" w:rsidRDefault="00000000" w:rsidRPr="00000000" w14:paraId="00000006">
      <w:pPr>
        <w:shd w:fill="ffffff" w:val="clear"/>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1021 O Street, Suite 7250</w:t>
      </w:r>
    </w:p>
    <w:p w:rsidR="00000000" w:rsidDel="00000000" w:rsidP="00000000" w:rsidRDefault="00000000" w:rsidRPr="00000000" w14:paraId="00000007">
      <w:pPr>
        <w:shd w:fill="ffffff" w:val="clear"/>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Sacramento, CA 95814</w:t>
      </w:r>
    </w:p>
    <w:p w:rsidR="00000000" w:rsidDel="00000000" w:rsidP="00000000" w:rsidRDefault="00000000" w:rsidRPr="00000000" w14:paraId="00000008">
      <w:pPr>
        <w:shd w:fill="ffffff" w:val="clear"/>
        <w:spacing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9">
      <w:pPr>
        <w:shd w:fill="ffffff" w:val="clear"/>
        <w:spacing w:line="240" w:lineRule="auto"/>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RE: SB 1014 (Grayson) ONSITE AND OFFSITE IMPROVEMENTS – SUPPORT </w:t>
      </w:r>
    </w:p>
    <w:p w:rsidR="00000000" w:rsidDel="00000000" w:rsidP="00000000" w:rsidRDefault="00000000" w:rsidRPr="00000000" w14:paraId="0000000A">
      <w:pPr>
        <w:shd w:fill="ffffff" w:val="clear"/>
        <w:spacing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B">
      <w:pPr>
        <w:shd w:fill="ffffff" w:val="clear"/>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Dear Senator Grayson, </w:t>
      </w:r>
    </w:p>
    <w:p w:rsidR="00000000" w:rsidDel="00000000" w:rsidP="00000000" w:rsidRDefault="00000000" w:rsidRPr="00000000" w14:paraId="0000000C">
      <w:pPr>
        <w:shd w:fill="ffffff" w:val="clear"/>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 </w:t>
      </w:r>
    </w:p>
    <w:p w:rsidR="00000000" w:rsidDel="00000000" w:rsidP="00000000" w:rsidRDefault="00000000" w:rsidRPr="00000000" w14:paraId="0000000D">
      <w:pPr>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On behalf of </w:t>
      </w:r>
      <w:r w:rsidDel="00000000" w:rsidR="00000000" w:rsidRPr="00000000">
        <w:rPr>
          <w:rFonts w:ascii="Garamond" w:cs="Garamond" w:eastAsia="Garamond" w:hAnsi="Garamond"/>
          <w:sz w:val="24"/>
          <w:szCs w:val="24"/>
          <w:highlight w:val="yellow"/>
          <w:rtl w:val="0"/>
        </w:rPr>
        <w:t xml:space="preserve">[ORGANIZATION NAME]</w:t>
      </w:r>
      <w:r w:rsidDel="00000000" w:rsidR="00000000" w:rsidRPr="00000000">
        <w:rPr>
          <w:rFonts w:ascii="Garamond" w:cs="Garamond" w:eastAsia="Garamond" w:hAnsi="Garamond"/>
          <w:sz w:val="24"/>
          <w:szCs w:val="24"/>
          <w:rtl w:val="0"/>
        </w:rPr>
        <w:t xml:space="preserve">, I write in support of Senate Bill 1014, which requires</w:t>
      </w:r>
    </w:p>
    <w:p w:rsidR="00000000" w:rsidDel="00000000" w:rsidP="00000000" w:rsidRDefault="00000000" w:rsidRPr="00000000" w14:paraId="0000000E">
      <w:pPr>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local jurisdictions to provide a list and good-faith estimate of any required on-site or off-site</w:t>
      </w:r>
    </w:p>
    <w:p w:rsidR="00000000" w:rsidDel="00000000" w:rsidP="00000000" w:rsidRDefault="00000000" w:rsidRPr="00000000" w14:paraId="0000000F">
      <w:pPr>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improvements upon project submission, and prohibits cities from adding new requirements more than 30 days after a building permit application.</w:t>
      </w:r>
    </w:p>
    <w:p w:rsidR="00000000" w:rsidDel="00000000" w:rsidP="00000000" w:rsidRDefault="00000000" w:rsidRPr="00000000" w14:paraId="00000010">
      <w:pPr>
        <w:spacing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1">
      <w:pPr>
        <w:spacing w:line="240" w:lineRule="auto"/>
        <w:rPr>
          <w:rFonts w:ascii="Garamond" w:cs="Garamond" w:eastAsia="Garamond" w:hAnsi="Garamond"/>
          <w:sz w:val="24"/>
          <w:szCs w:val="24"/>
          <w:highlight w:val="yellow"/>
        </w:rPr>
      </w:pPr>
      <w:r w:rsidDel="00000000" w:rsidR="00000000" w:rsidRPr="00000000">
        <w:rPr>
          <w:rFonts w:ascii="Garamond" w:cs="Garamond" w:eastAsia="Garamond" w:hAnsi="Garamond"/>
          <w:sz w:val="24"/>
          <w:szCs w:val="24"/>
          <w:highlight w:val="yellow"/>
          <w:rtl w:val="0"/>
        </w:rPr>
        <w:t xml:space="preserve">[OPTIONAL: INSERT BRIEF STATEMENT ABOUT WHY YOUR ORGANIZATION SUPPORTS SB 1014 AND/OR HOW IT WILL IMPACT YOUR MEMBERS. IF YOU DO NOT WANT TO INCLUDE A STATEMENT, PLEASE DELETE THIS PARAGRAPH.]</w:t>
      </w:r>
    </w:p>
    <w:p w:rsidR="00000000" w:rsidDel="00000000" w:rsidP="00000000" w:rsidRDefault="00000000" w:rsidRPr="00000000" w14:paraId="00000012">
      <w:pPr>
        <w:spacing w:line="240" w:lineRule="auto"/>
        <w:rPr>
          <w:rFonts w:ascii="Garamond" w:cs="Garamond" w:eastAsia="Garamond" w:hAnsi="Garamond"/>
          <w:sz w:val="24"/>
          <w:szCs w:val="24"/>
          <w:highlight w:val="yellow"/>
        </w:rPr>
      </w:pPr>
      <w:r w:rsidDel="00000000" w:rsidR="00000000" w:rsidRPr="00000000">
        <w:rPr>
          <w:rtl w:val="0"/>
        </w:rPr>
      </w:r>
    </w:p>
    <w:p w:rsidR="00000000" w:rsidDel="00000000" w:rsidP="00000000" w:rsidRDefault="00000000" w:rsidRPr="00000000" w14:paraId="00000013">
      <w:pPr>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SB 1014 represents an important step forward for good governance. Clear, consistent, and transparent rules are essential to ensuring that housing policies adopted by the California State Legislature can be implemented fairly and efficiently by local governments, and relied upon by project applicants and communities alike. Too often, housing developments face new or expanded onsite and offsite improvement requirements late in the permitting process, after significant time and resources have already been invested. These last-minute conditions, such as unanticipated infrastructure upgrades, utility improvements, or public work requirements, introduce substantial and unpredictable costs and in many cases render otherwise compliant housing projects infeasible. </w:t>
      </w:r>
    </w:p>
    <w:p w:rsidR="00000000" w:rsidDel="00000000" w:rsidP="00000000" w:rsidRDefault="00000000" w:rsidRPr="00000000" w14:paraId="00000014">
      <w:pPr>
        <w:spacing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5">
      <w:pPr>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SB 1014 helps address this challenge by ensuring that improvement requirements are disclosed completely, early, and clearly, providing both local agencies and applicants with a shared understanding of expectations. By improving predictability, the bill supports responsible planning while preserving local authority to require appropriate improvements, so long as those requirements are communicated in a timely and transparent manner. </w:t>
      </w:r>
    </w:p>
    <w:p w:rsidR="00000000" w:rsidDel="00000000" w:rsidP="00000000" w:rsidRDefault="00000000" w:rsidRPr="00000000" w14:paraId="00000016">
      <w:pPr>
        <w:spacing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7">
      <w:pPr>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At a time when California urgently needs more housing, SB 1014 advances a balanced approach that promotes clarity, fairness, and good governance while helping communities deliver the homes Californians need.</w:t>
      </w:r>
      <w:r w:rsidDel="00000000" w:rsidR="00000000" w:rsidRPr="00000000">
        <w:rPr>
          <w:rtl w:val="0"/>
        </w:rPr>
      </w:r>
    </w:p>
    <w:p w:rsidR="00000000" w:rsidDel="00000000" w:rsidP="00000000" w:rsidRDefault="00000000" w:rsidRPr="00000000" w14:paraId="00000018">
      <w:pPr>
        <w:spacing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9">
      <w:pPr>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For these reasons, </w:t>
      </w:r>
      <w:r w:rsidDel="00000000" w:rsidR="00000000" w:rsidRPr="00000000">
        <w:rPr>
          <w:rFonts w:ascii="Garamond" w:cs="Garamond" w:eastAsia="Garamond" w:hAnsi="Garamond"/>
          <w:sz w:val="24"/>
          <w:szCs w:val="24"/>
          <w:highlight w:val="yellow"/>
          <w:rtl w:val="0"/>
        </w:rPr>
        <w:t xml:space="preserve">[YOUR ORGANIZATION</w:t>
      </w:r>
      <w:r w:rsidDel="00000000" w:rsidR="00000000" w:rsidRPr="00000000">
        <w:rPr>
          <w:rFonts w:ascii="Garamond" w:cs="Garamond" w:eastAsia="Garamond" w:hAnsi="Garamond"/>
          <w:sz w:val="24"/>
          <w:szCs w:val="24"/>
          <w:rtl w:val="0"/>
        </w:rPr>
        <w:t xml:space="preserve">] supports SB 1014 (Grayson).</w:t>
      </w:r>
    </w:p>
    <w:p w:rsidR="00000000" w:rsidDel="00000000" w:rsidP="00000000" w:rsidRDefault="00000000" w:rsidRPr="00000000" w14:paraId="0000001A">
      <w:pPr>
        <w:spacing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B">
      <w:pPr>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Sincerely,</w:t>
      </w:r>
    </w:p>
    <w:p w:rsidR="00000000" w:rsidDel="00000000" w:rsidP="00000000" w:rsidRDefault="00000000" w:rsidRPr="00000000" w14:paraId="0000001C">
      <w:pPr>
        <w:spacing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D">
      <w:pPr>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highlight w:val="yellow"/>
          <w:rtl w:val="0"/>
        </w:rPr>
        <w:t xml:space="preserve">[Signature]</w:t>
      </w:r>
      <w:r w:rsidDel="00000000" w:rsidR="00000000" w:rsidRPr="00000000">
        <w:rPr>
          <w:rtl w:val="0"/>
        </w:rPr>
      </w:r>
    </w:p>
    <w:p w:rsidR="00000000" w:rsidDel="00000000" w:rsidP="00000000" w:rsidRDefault="00000000" w:rsidRPr="00000000" w14:paraId="0000001E">
      <w:pPr>
        <w:spacing w:line="240" w:lineRule="auto"/>
        <w:rPr/>
      </w:pPr>
      <w:r w:rsidDel="00000000" w:rsidR="00000000" w:rsidRPr="00000000">
        <w:rPr>
          <w:rFonts w:ascii="Garamond" w:cs="Garamond" w:eastAsia="Garamond" w:hAnsi="Garamond"/>
          <w:b w:val="1"/>
          <w:bCs w:val="1"/>
          <w:sz w:val="24"/>
          <w:szCs w:val="24"/>
          <w:highlight w:val="yellow"/>
          <w:rtl w:val="0"/>
        </w:rPr>
        <w:t xml:space="preserve">[Typed Name]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Robert.Cruz@sen.ca.gov" TargetMode="External"/><Relationship Id="rId7" Type="http://schemas.openxmlformats.org/officeDocument/2006/relationships/hyperlink" Target="https://calegislation.lc.ca.gov/Advocat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