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Garamond" w:cs="Garamond" w:eastAsia="Garamond" w:hAnsi="Garamond"/>
          <w:highlight w:val="yellow"/>
        </w:rPr>
      </w:pPr>
      <w:r w:rsidDel="00000000" w:rsidR="00000000" w:rsidRPr="00000000">
        <w:rPr>
          <w:rFonts w:ascii="Garamond" w:cs="Garamond" w:eastAsia="Garamond" w:hAnsi="Garamond"/>
          <w:b w:val="1"/>
          <w:sz w:val="24"/>
          <w:szCs w:val="24"/>
          <w:highlight w:val="yellow"/>
          <w:rtl w:val="0"/>
        </w:rPr>
        <w:t xml:space="preserve">PLEASE ADD YOUR LETTERHEAD AND SEND EMAIL TO </w:t>
      </w:r>
      <w:hyperlink r:id="rId6">
        <w:r w:rsidDel="00000000" w:rsidR="00000000" w:rsidRPr="00000000">
          <w:rPr>
            <w:rFonts w:ascii="Garamond" w:cs="Garamond" w:eastAsia="Garamond" w:hAnsi="Garamond"/>
            <w:b w:val="1"/>
            <w:color w:val="1155cc"/>
            <w:sz w:val="24"/>
            <w:szCs w:val="24"/>
            <w:highlight w:val="yellow"/>
            <w:u w:val="single"/>
            <w:rtl w:val="0"/>
          </w:rPr>
          <w:t xml:space="preserve">Robert.Cruz@sen.ca.gov</w:t>
        </w:r>
      </w:hyperlink>
      <w:r w:rsidDel="00000000" w:rsidR="00000000" w:rsidRPr="00000000">
        <w:rPr>
          <w:rFonts w:ascii="Garamond" w:cs="Garamond" w:eastAsia="Garamond" w:hAnsi="Garamond"/>
          <w:b w:val="1"/>
          <w:sz w:val="24"/>
          <w:szCs w:val="24"/>
          <w:highlight w:val="yellow"/>
          <w:rtl w:val="0"/>
        </w:rPr>
        <w:tab/>
        <w:t xml:space="preserve">and SUBMIT TO </w:t>
      </w:r>
      <w:hyperlink r:id="rId7">
        <w:r w:rsidDel="00000000" w:rsidR="00000000" w:rsidRPr="00000000">
          <w:rPr>
            <w:rFonts w:ascii="Garamond" w:cs="Garamond" w:eastAsia="Garamond" w:hAnsi="Garamond"/>
            <w:color w:val="0000ff"/>
            <w:highlight w:val="yellow"/>
            <w:u w:val="single"/>
            <w:rtl w:val="0"/>
          </w:rPr>
          <w:t xml:space="preserve">https://calegislation.lc.ca.gov/Advocates/</w:t>
        </w:r>
      </w:hyperlink>
      <w:r w:rsidDel="00000000" w:rsidR="00000000" w:rsidRPr="00000000">
        <w:rPr>
          <w:rtl w:val="0"/>
        </w:rPr>
      </w:r>
    </w:p>
    <w:p w:rsidR="00000000" w:rsidDel="00000000" w:rsidP="00000000" w:rsidRDefault="00000000" w:rsidRPr="00000000" w14:paraId="00000002">
      <w:pPr>
        <w:spacing w:line="240" w:lineRule="auto"/>
        <w:rPr>
          <w:rFonts w:ascii="Garamond" w:cs="Garamond" w:eastAsia="Garamond" w:hAnsi="Garamond"/>
          <w:sz w:val="24"/>
          <w:szCs w:val="24"/>
          <w:highlight w:val="yellow"/>
        </w:rPr>
      </w:pPr>
      <w:r w:rsidDel="00000000" w:rsidR="00000000" w:rsidRPr="00000000">
        <w:rPr>
          <w:rtl w:val="0"/>
        </w:rPr>
      </w:r>
    </w:p>
    <w:p w:rsidR="00000000" w:rsidDel="00000000" w:rsidP="00000000" w:rsidRDefault="00000000" w:rsidRPr="00000000" w14:paraId="00000003">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highlight w:val="yellow"/>
          <w:rtl w:val="0"/>
        </w:rPr>
        <w:t xml:space="preserve">DATE,</w:t>
      </w:r>
      <w:r w:rsidDel="00000000" w:rsidR="00000000" w:rsidRPr="00000000">
        <w:rPr>
          <w:rFonts w:ascii="Garamond" w:cs="Garamond" w:eastAsia="Garamond" w:hAnsi="Garamond"/>
          <w:sz w:val="24"/>
          <w:szCs w:val="24"/>
          <w:rtl w:val="0"/>
        </w:rPr>
        <w:t xml:space="preserve"> 2025</w:t>
      </w:r>
    </w:p>
    <w:p w:rsidR="00000000" w:rsidDel="00000000" w:rsidP="00000000" w:rsidRDefault="00000000" w:rsidRPr="00000000" w14:paraId="00000004">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Honorable Tim Grayson</w:t>
      </w:r>
    </w:p>
    <w:p w:rsidR="00000000" w:rsidDel="00000000" w:rsidP="00000000" w:rsidRDefault="00000000" w:rsidRPr="00000000" w14:paraId="00000006">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California State Senate </w:t>
      </w:r>
    </w:p>
    <w:p w:rsidR="00000000" w:rsidDel="00000000" w:rsidP="00000000" w:rsidRDefault="00000000" w:rsidRPr="00000000" w14:paraId="00000007">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1021 O Street, Suite 7250 </w:t>
      </w:r>
    </w:p>
    <w:p w:rsidR="00000000" w:rsidDel="00000000" w:rsidP="00000000" w:rsidRDefault="00000000" w:rsidRPr="00000000" w14:paraId="00000008">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Sacramento, CA 95814</w:t>
      </w:r>
    </w:p>
    <w:p w:rsidR="00000000" w:rsidDel="00000000" w:rsidP="00000000" w:rsidRDefault="00000000" w:rsidRPr="00000000" w14:paraId="00000009">
      <w:pPr>
        <w:shd w:fill="ffffff" w:val="clea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A">
      <w:pPr>
        <w:shd w:fill="ffffff" w:val="clear"/>
        <w:spacing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RE: SB 315 (Grayson) ENSURING TRANSPARENCY AND FAIRNESS IN QUIMBY ACT FEES – SUPPORT </w:t>
      </w:r>
    </w:p>
    <w:p w:rsidR="00000000" w:rsidDel="00000000" w:rsidP="00000000" w:rsidRDefault="00000000" w:rsidRPr="00000000" w14:paraId="0000000B">
      <w:pPr>
        <w:shd w:fill="ffffff" w:val="clea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C">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Dear Senator Grayson, </w:t>
      </w:r>
    </w:p>
    <w:p w:rsidR="00000000" w:rsidDel="00000000" w:rsidP="00000000" w:rsidRDefault="00000000" w:rsidRPr="00000000" w14:paraId="0000000D">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0E">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 behalf of </w:t>
      </w:r>
      <w:r w:rsidDel="00000000" w:rsidR="00000000" w:rsidRPr="00000000">
        <w:rPr>
          <w:rFonts w:ascii="Garamond" w:cs="Garamond" w:eastAsia="Garamond" w:hAnsi="Garamond"/>
          <w:sz w:val="24"/>
          <w:szCs w:val="24"/>
          <w:highlight w:val="yellow"/>
          <w:rtl w:val="0"/>
        </w:rPr>
        <w:t xml:space="preserve">[ORGANIZATION NAME]</w:t>
      </w:r>
      <w:r w:rsidDel="00000000" w:rsidR="00000000" w:rsidRPr="00000000">
        <w:rPr>
          <w:rFonts w:ascii="Garamond" w:cs="Garamond" w:eastAsia="Garamond" w:hAnsi="Garamond"/>
          <w:sz w:val="24"/>
          <w:szCs w:val="24"/>
          <w:rtl w:val="0"/>
        </w:rPr>
        <w:t xml:space="preserve">, I write in support of Senate Bill 315, which ensures that park fees collected from new housing projects are transparently tracked and reported. It also reduces costs for infill housing by limiting park </w:t>
      </w:r>
      <w:r w:rsidDel="00000000" w:rsidR="00000000" w:rsidRPr="00000000">
        <w:rPr>
          <w:rFonts w:ascii="Garamond" w:cs="Garamond" w:eastAsia="Garamond" w:hAnsi="Garamond"/>
          <w:sz w:val="24"/>
          <w:szCs w:val="24"/>
          <w:rtl w:val="0"/>
        </w:rPr>
        <w:t xml:space="preserve">fees for higher density developments and</w:t>
      </w:r>
      <w:r w:rsidDel="00000000" w:rsidR="00000000" w:rsidRPr="00000000">
        <w:rPr>
          <w:rFonts w:ascii="Garamond" w:cs="Garamond" w:eastAsia="Garamond" w:hAnsi="Garamond"/>
          <w:sz w:val="24"/>
          <w:szCs w:val="24"/>
          <w:rtl w:val="0"/>
        </w:rPr>
        <w:t xml:space="preserve"> near existing parks.</w:t>
      </w:r>
    </w:p>
    <w:p w:rsidR="00000000" w:rsidDel="00000000" w:rsidP="00000000" w:rsidRDefault="00000000" w:rsidRPr="00000000" w14:paraId="0000000F">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0">
      <w:pPr>
        <w:spacing w:line="240" w:lineRule="auto"/>
        <w:rPr>
          <w:rFonts w:ascii="Garamond" w:cs="Garamond" w:eastAsia="Garamond" w:hAnsi="Garamond"/>
          <w:sz w:val="24"/>
          <w:szCs w:val="24"/>
          <w:highlight w:val="yellow"/>
        </w:rPr>
      </w:pPr>
      <w:r w:rsidDel="00000000" w:rsidR="00000000" w:rsidRPr="00000000">
        <w:rPr>
          <w:rFonts w:ascii="Garamond" w:cs="Garamond" w:eastAsia="Garamond" w:hAnsi="Garamond"/>
          <w:sz w:val="24"/>
          <w:szCs w:val="24"/>
          <w:highlight w:val="yellow"/>
          <w:rtl w:val="0"/>
        </w:rPr>
        <w:t xml:space="preserve">[OPTIONAL: INSERT BRIEF STATEMENT ABOUT WHY YOUR ORGANIZATION SUPPORTS SB 315 AND/OR HOW IT WILL IMPACT YOUR MEMBERS. IF YOU DO NOT WANT TO INCLUDE A STATEMENT, PLEASE DELETE THIS PARAGRAPH.]</w:t>
      </w:r>
    </w:p>
    <w:p w:rsidR="00000000" w:rsidDel="00000000" w:rsidP="00000000" w:rsidRDefault="00000000" w:rsidRPr="00000000" w14:paraId="00000011">
      <w:pPr>
        <w:widowControl w:val="0"/>
        <w:spacing w:after="24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Park fees in many California cities are too high, making it challenging to build housing at a reasonable cost, and therefore rent or own a home at an affordable price. Developers often face steep fees that can reach millions of dollars, driving up the price of new housing and impacting affordability for residents. Adding to the problem, there is no clear or consistent system for tracking how these fees are calculated, collected, and spent.</w:t>
      </w:r>
      <w:r w:rsidDel="00000000" w:rsidR="00000000" w:rsidRPr="00000000">
        <w:rPr>
          <w:rtl w:val="0"/>
        </w:rPr>
      </w:r>
    </w:p>
    <w:p w:rsidR="00000000" w:rsidDel="00000000" w:rsidP="00000000" w:rsidRDefault="00000000" w:rsidRPr="00000000" w14:paraId="00000012">
      <w:pPr>
        <w:spacing w:after="240" w:before="2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California i</w:t>
      </w:r>
      <w:r w:rsidDel="00000000" w:rsidR="00000000" w:rsidRPr="00000000">
        <w:rPr>
          <w:rFonts w:ascii="Garamond" w:cs="Garamond" w:eastAsia="Garamond" w:hAnsi="Garamond"/>
          <w:sz w:val="24"/>
          <w:szCs w:val="24"/>
          <w:rtl w:val="0"/>
        </w:rPr>
        <w:t xml:space="preserve">s short over 3 million homes to meet demand, making housing affordability a growing crisis. High park fees add unnecessary costs that make it harder to build the homes we need. By limiting and waiving these fees in key areas, SB 315</w:t>
      </w:r>
      <w:r w:rsidDel="00000000" w:rsidR="00000000" w:rsidRPr="00000000">
        <w:rPr>
          <w:rFonts w:ascii="Garamond" w:cs="Garamond" w:eastAsia="Garamond" w:hAnsi="Garamond"/>
          <w:sz w:val="24"/>
          <w:szCs w:val="24"/>
          <w:rtl w:val="0"/>
        </w:rPr>
        <w:t xml:space="preserve"> helps reduce housing costs and makes it easier to build affordable homes near existing parks, benefiting Californians.</w:t>
      </w:r>
    </w:p>
    <w:p w:rsidR="00000000" w:rsidDel="00000000" w:rsidP="00000000" w:rsidRDefault="00000000" w:rsidRPr="00000000" w14:paraId="00000013">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4">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 these reasons, </w:t>
      </w:r>
      <w:r w:rsidDel="00000000" w:rsidR="00000000" w:rsidRPr="00000000">
        <w:rPr>
          <w:rFonts w:ascii="Garamond" w:cs="Garamond" w:eastAsia="Garamond" w:hAnsi="Garamond"/>
          <w:sz w:val="24"/>
          <w:szCs w:val="24"/>
          <w:highlight w:val="yellow"/>
          <w:rtl w:val="0"/>
        </w:rPr>
        <w:t xml:space="preserve">[YOUR ORGANIZATION</w:t>
      </w:r>
      <w:r w:rsidDel="00000000" w:rsidR="00000000" w:rsidRPr="00000000">
        <w:rPr>
          <w:rFonts w:ascii="Garamond" w:cs="Garamond" w:eastAsia="Garamond" w:hAnsi="Garamond"/>
          <w:sz w:val="24"/>
          <w:szCs w:val="24"/>
          <w:rtl w:val="0"/>
        </w:rPr>
        <w:t xml:space="preserve">] supports SB 315 (Grayson).</w:t>
      </w:r>
    </w:p>
    <w:p w:rsidR="00000000" w:rsidDel="00000000" w:rsidP="00000000" w:rsidRDefault="00000000" w:rsidRPr="00000000" w14:paraId="00000015">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6">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Sincerely,</w:t>
      </w:r>
    </w:p>
    <w:p w:rsidR="00000000" w:rsidDel="00000000" w:rsidP="00000000" w:rsidRDefault="00000000" w:rsidRPr="00000000" w14:paraId="00000017">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8">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highlight w:val="yellow"/>
          <w:rtl w:val="0"/>
        </w:rPr>
        <w:t xml:space="preserve">[Signature]</w:t>
      </w:r>
      <w:r w:rsidDel="00000000" w:rsidR="00000000" w:rsidRPr="00000000">
        <w:rPr>
          <w:rtl w:val="0"/>
        </w:rPr>
      </w:r>
    </w:p>
    <w:p w:rsidR="00000000" w:rsidDel="00000000" w:rsidP="00000000" w:rsidRDefault="00000000" w:rsidRPr="00000000" w14:paraId="00000019">
      <w:pPr>
        <w:spacing w:line="240" w:lineRule="auto"/>
        <w:rPr>
          <w:rFonts w:ascii="Garamond" w:cs="Garamond" w:eastAsia="Garamond" w:hAnsi="Garamond"/>
          <w:b w:val="1"/>
          <w:sz w:val="24"/>
          <w:szCs w:val="24"/>
          <w:highlight w:val="yellow"/>
        </w:rPr>
      </w:pPr>
      <w:r w:rsidDel="00000000" w:rsidR="00000000" w:rsidRPr="00000000">
        <w:rPr>
          <w:rFonts w:ascii="Garamond" w:cs="Garamond" w:eastAsia="Garamond" w:hAnsi="Garamond"/>
          <w:b w:val="1"/>
          <w:sz w:val="24"/>
          <w:szCs w:val="24"/>
          <w:highlight w:val="yellow"/>
          <w:rtl w:val="0"/>
        </w:rPr>
        <w:t xml:space="preserve">[Typed Name]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widowControl w:val="0"/>
        <w:spacing w:before="269.72900390625" w:line="242.9029083251953" w:lineRule="auto"/>
        <w:ind w:left="1459.6098327636719" w:right="1380.54931640625" w:hanging="9.029998779296875"/>
        <w:jc w:val="both"/>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1C">
      <w:pPr>
        <w:widowControl w:val="0"/>
        <w:spacing w:before="261.49688720703125" w:line="245.13999938964844" w:lineRule="auto"/>
        <w:ind w:left="0" w:right="1392.132568359375" w:firstLine="0"/>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obert.Cruz@sen.ca.gov" TargetMode="External"/><Relationship Id="rId7" Type="http://schemas.openxmlformats.org/officeDocument/2006/relationships/hyperlink" Target="https://calegislation.lc.ca.gov/Advoca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