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Style w:val="None"/>
          <w:rFonts w:ascii="Century Gothic" w:cs="Century Gothic" w:hAnsi="Century Gothic" w:eastAsia="Century Gothic"/>
          <w:sz w:val="24"/>
          <w:szCs w:val="24"/>
          <w:shd w:val="clear" w:color="auto" w:fill="ffff00"/>
        </w:rPr>
      </w:pPr>
      <w:r>
        <w:rPr>
          <w:rFonts w:ascii="Garamond" w:hAnsi="Garamond"/>
          <w:sz w:val="24"/>
          <w:szCs w:val="24"/>
          <w:shd w:val="clear" w:color="auto" w:fill="ffff00"/>
          <w:rtl w:val="0"/>
          <w:lang w:val="en-US"/>
        </w:rPr>
        <w:t xml:space="preserve">PLEASE ADD YOUR LETTERHEAD AND SEND EMAIL TO </w:t>
      </w:r>
      <w:r>
        <w:rPr>
          <w:rStyle w:val="Hyperlink.0"/>
        </w:rPr>
        <w:fldChar w:fldCharType="begin" w:fldLock="0"/>
      </w:r>
      <w:r>
        <w:rPr>
          <w:rStyle w:val="Hyperlink.0"/>
        </w:rPr>
        <w:instrText xml:space="preserve"> HYPERLINK "mailto:tate.hanna@sen.ca.gov"</w:instrText>
      </w:r>
      <w:r>
        <w:rPr>
          <w:rStyle w:val="Hyperlink.0"/>
        </w:rPr>
        <w:fldChar w:fldCharType="separate" w:fldLock="0"/>
      </w:r>
      <w:r>
        <w:rPr>
          <w:rStyle w:val="Hyperlink.0"/>
          <w:rtl w:val="0"/>
          <w:lang w:val="it-IT"/>
        </w:rPr>
        <w:t>tate.hanna@sen.ca.gov</w:t>
      </w:r>
      <w:r>
        <w:rPr/>
        <w:fldChar w:fldCharType="end" w:fldLock="0"/>
      </w:r>
      <w:r>
        <w:rPr>
          <w:rStyle w:val="None"/>
          <w:rFonts w:ascii="Garamond" w:hAnsi="Garamond"/>
          <w:sz w:val="24"/>
          <w:szCs w:val="24"/>
          <w:rtl w:val="0"/>
        </w:rPr>
        <w:t xml:space="preserve"> </w:t>
      </w:r>
      <w:r>
        <w:rPr>
          <w:rStyle w:val="None"/>
          <w:rFonts w:ascii="Garamond" w:hAnsi="Garamond"/>
          <w:sz w:val="24"/>
          <w:szCs w:val="24"/>
          <w:shd w:val="clear" w:color="auto" w:fill="ffff00"/>
          <w:rtl w:val="0"/>
          <w:lang w:val="en-US"/>
        </w:rPr>
        <w:t xml:space="preserve">and SUBMIT TO </w:t>
      </w:r>
      <w:r>
        <w:rPr>
          <w:rStyle w:val="Hyperlink.1"/>
        </w:rPr>
        <w:fldChar w:fldCharType="begin" w:fldLock="0"/>
      </w:r>
      <w:r>
        <w:rPr>
          <w:rStyle w:val="Hyperlink.1"/>
        </w:rPr>
        <w:instrText xml:space="preserve"> HYPERLINK "https://calegislation.lc.ca.gov/Advocates/"</w:instrText>
      </w:r>
      <w:r>
        <w:rPr>
          <w:rStyle w:val="Hyperlink.1"/>
        </w:rPr>
        <w:fldChar w:fldCharType="separate" w:fldLock="0"/>
      </w:r>
      <w:r>
        <w:rPr>
          <w:rStyle w:val="Hyperlink.1"/>
          <w:rtl w:val="0"/>
          <w:lang w:val="en-US"/>
        </w:rPr>
        <w:t>https://calegislation.lc.ca.gov/Advocates/</w:t>
      </w:r>
      <w:r>
        <w:rPr/>
        <w:fldChar w:fldCharType="end" w:fldLock="0"/>
      </w:r>
    </w:p>
    <w:p>
      <w:pPr>
        <w:pStyle w:val="Body"/>
        <w:spacing w:line="240" w:lineRule="auto"/>
        <w:rPr>
          <w:rStyle w:val="None"/>
          <w:rFonts w:ascii="Times New Roman" w:cs="Times New Roman" w:hAnsi="Times New Roman" w:eastAsia="Times New Roman"/>
          <w:outline w:val="0"/>
          <w:color w:val="ff0000"/>
          <w:sz w:val="24"/>
          <w:szCs w:val="24"/>
          <w:u w:val="single" w:color="ff0000"/>
          <w14:textFill>
            <w14:solidFill>
              <w14:srgbClr w14:val="FF0000"/>
            </w14:solidFill>
          </w14:textFill>
        </w:rPr>
      </w:pPr>
    </w:p>
    <w:p>
      <w:pPr>
        <w:pStyle w:val="Body"/>
        <w:spacing w:line="240" w:lineRule="auto"/>
        <w:rPr>
          <w:rStyle w:val="None"/>
          <w:rFonts w:ascii="Times New Roman" w:cs="Times New Roman" w:hAnsi="Times New Roman" w:eastAsia="Times New Roman"/>
          <w:sz w:val="24"/>
          <w:szCs w:val="24"/>
          <w:shd w:val="clear" w:color="auto" w:fill="ffff00"/>
        </w:rPr>
      </w:pPr>
      <w:r>
        <w:rPr>
          <w:rStyle w:val="None"/>
          <w:rFonts w:ascii="Times New Roman" w:hAnsi="Times New Roman"/>
          <w:sz w:val="24"/>
          <w:szCs w:val="24"/>
          <w:shd w:val="clear" w:color="auto" w:fill="ffff00"/>
          <w:rtl w:val="0"/>
          <w:lang w:val="en-US"/>
        </w:rPr>
        <w:t>DATE</w:t>
      </w:r>
    </w:p>
    <w:p>
      <w:pPr>
        <w:pStyle w:val="Body"/>
        <w:spacing w:line="240" w:lineRule="auto"/>
        <w:rPr>
          <w:rStyle w:val="None"/>
          <w:rFonts w:ascii="Times New Roman" w:cs="Times New Roman" w:hAnsi="Times New Roman" w:eastAsia="Times New Roman"/>
          <w:sz w:val="24"/>
          <w:szCs w:val="24"/>
        </w:rPr>
      </w:pPr>
    </w:p>
    <w:p>
      <w:pPr>
        <w:pStyle w:val="Body"/>
        <w:spacing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Honorable Buffy Wicks</w:t>
      </w:r>
    </w:p>
    <w:p>
      <w:pPr>
        <w:pStyle w:val="Body"/>
        <w:spacing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Chair, Assembly Housing and Community Development Committee</w:t>
      </w:r>
    </w:p>
    <w:p>
      <w:pPr>
        <w:pStyle w:val="Body"/>
        <w:spacing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1020 N Street, Room 156</w:t>
      </w:r>
    </w:p>
    <w:p>
      <w:pPr>
        <w:pStyle w:val="Body"/>
        <w:spacing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Sacramento, CA 95814</w:t>
      </w:r>
    </w:p>
    <w:p>
      <w:pPr>
        <w:pStyle w:val="Body"/>
        <w:spacing w:line="240" w:lineRule="auto"/>
        <w:rPr>
          <w:rStyle w:val="None"/>
          <w:rFonts w:ascii="Times New Roman" w:cs="Times New Roman" w:hAnsi="Times New Roman" w:eastAsia="Times New Roman"/>
          <w:sz w:val="24"/>
          <w:szCs w:val="24"/>
        </w:rPr>
      </w:pPr>
    </w:p>
    <w:p>
      <w:pPr>
        <w:pStyle w:val="Body"/>
        <w:spacing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RE: Senate Bill (SB) 423 Land use: streamlined housing approvals: multifamily housing </w:t>
      </w:r>
    </w:p>
    <w:p>
      <w:pPr>
        <w:pStyle w:val="Body"/>
        <w:spacing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development -  SUPPORT</w:t>
      </w:r>
    </w:p>
    <w:p>
      <w:pPr>
        <w:pStyle w:val="Body"/>
        <w:spacing w:line="240" w:lineRule="auto"/>
        <w:rPr>
          <w:rStyle w:val="None"/>
          <w:rFonts w:ascii="Times New Roman" w:cs="Times New Roman" w:hAnsi="Times New Roman" w:eastAsia="Times New Roman"/>
          <w:b w:val="1"/>
          <w:bCs w:val="1"/>
          <w:sz w:val="24"/>
          <w:szCs w:val="24"/>
        </w:rPr>
      </w:pPr>
    </w:p>
    <w:p>
      <w:pPr>
        <w:pStyle w:val="Body"/>
        <w:spacing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Dear Chairwoman Wicks, </w:t>
      </w:r>
    </w:p>
    <w:p>
      <w:pPr>
        <w:pStyle w:val="Body"/>
        <w:spacing w:line="240" w:lineRule="auto"/>
        <w:rPr>
          <w:rStyle w:val="None"/>
          <w:rFonts w:ascii="Times New Roman" w:cs="Times New Roman" w:hAnsi="Times New Roman" w:eastAsia="Times New Roman"/>
          <w:sz w:val="24"/>
          <w:szCs w:val="24"/>
        </w:rPr>
      </w:pPr>
    </w:p>
    <w:p>
      <w:pPr>
        <w:pStyle w:val="Body"/>
        <w:spacing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On behalf of </w:t>
      </w:r>
      <w:r>
        <w:rPr>
          <w:rStyle w:val="None"/>
          <w:rFonts w:ascii="Times New Roman" w:hAnsi="Times New Roman"/>
          <w:sz w:val="24"/>
          <w:szCs w:val="24"/>
          <w:shd w:val="clear" w:color="auto" w:fill="ffff00"/>
          <w:rtl w:val="0"/>
          <w:lang w:val="en-US"/>
        </w:rPr>
        <w:t>[YOUR ORGANIZATION]</w:t>
      </w:r>
      <w:r>
        <w:rPr>
          <w:rStyle w:val="None"/>
          <w:rFonts w:ascii="Times New Roman" w:hAnsi="Times New Roman"/>
          <w:sz w:val="24"/>
          <w:szCs w:val="24"/>
          <w:rtl w:val="0"/>
          <w:lang w:val="en-US"/>
        </w:rPr>
        <w:t>, I write in support of Senate Bill 423. SB 423 extends the provisions of SB 35 (Wiener, 2017) to January 1, 2036. SB 35 created streamlined, ministerial approvals for infill developments in local jurisdictions that have failed to meet their Regional Housing Needs Assessment (RHNA) goals. SB 423 extends the current sunset and makes additional changes to ensure that the law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application is more equitable. </w:t>
      </w:r>
    </w:p>
    <w:p>
      <w:pPr>
        <w:pStyle w:val="Body"/>
        <w:spacing w:line="240" w:lineRule="auto"/>
        <w:rPr>
          <w:rStyle w:val="None"/>
          <w:rFonts w:ascii="Times New Roman" w:cs="Times New Roman" w:hAnsi="Times New Roman" w:eastAsia="Times New Roman"/>
          <w:sz w:val="24"/>
          <w:szCs w:val="24"/>
        </w:rPr>
      </w:pPr>
    </w:p>
    <w:p>
      <w:pPr>
        <w:pStyle w:val="Body"/>
        <w:spacing w:line="240" w:lineRule="auto"/>
        <w:rPr>
          <w:rStyle w:val="None"/>
          <w:rFonts w:ascii="Times New Roman" w:cs="Times New Roman" w:hAnsi="Times New Roman" w:eastAsia="Times New Roman"/>
          <w:sz w:val="24"/>
          <w:szCs w:val="24"/>
        </w:rPr>
      </w:pPr>
      <w:r>
        <w:rPr>
          <w:rStyle w:val="None"/>
          <w:rFonts w:ascii="Garamond" w:hAnsi="Garamond"/>
          <w:shd w:val="clear" w:color="auto" w:fill="ffff00"/>
          <w:rtl w:val="0"/>
          <w:lang w:val="en-US"/>
        </w:rPr>
        <w:t>[OPTIONAL: INSERT BRIEF STATEMENT ABOUT WHY YOUR ORGANIZATION SUPPORTS SB 423 AND/OR HOW IT WILL IMPACT YOUR MEMBERS. IF YOU DO NOT WANT TO INCLUDE A STATEMENT, PLEASE DELETE THIS PARAGRAPH.]</w:t>
      </w:r>
    </w:p>
    <w:p>
      <w:pPr>
        <w:pStyle w:val="Body"/>
        <w:spacing w:line="240" w:lineRule="auto"/>
        <w:rPr>
          <w:rStyle w:val="None"/>
          <w:rFonts w:ascii="Times New Roman" w:cs="Times New Roman" w:hAnsi="Times New Roman" w:eastAsia="Times New Roman"/>
          <w:sz w:val="24"/>
          <w:szCs w:val="24"/>
        </w:rPr>
      </w:pPr>
    </w:p>
    <w:p>
      <w:pPr>
        <w:pStyle w:val="Body"/>
        <w:spacing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SB 423 ensures the successful provisions of SB 35 continue to streamline affordable housing where it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needed most, while maintaining local planning. All SB 35 projects must be consistent with local General Plans</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and housing can only be built on sites that are </w:t>
      </w:r>
      <w:r>
        <w:rPr>
          <w:rStyle w:val="None"/>
          <w:rFonts w:ascii="Times New Roman" w:hAnsi="Times New Roman"/>
          <w:b w:val="1"/>
          <w:bCs w:val="1"/>
          <w:sz w:val="24"/>
          <w:szCs w:val="24"/>
          <w:rtl w:val="0"/>
          <w:lang w:val="en-US"/>
        </w:rPr>
        <w:t>both</w:t>
      </w:r>
      <w:r>
        <w:rPr>
          <w:rStyle w:val="None"/>
          <w:rFonts w:ascii="Times New Roman" w:hAnsi="Times New Roman"/>
          <w:sz w:val="24"/>
          <w:szCs w:val="24"/>
          <w:rtl w:val="0"/>
        </w:rPr>
        <w:t xml:space="preserve"> urban </w:t>
      </w:r>
      <w:r>
        <w:rPr>
          <w:rStyle w:val="None"/>
          <w:rFonts w:ascii="Times New Roman" w:hAnsi="Times New Roman"/>
          <w:b w:val="1"/>
          <w:bCs w:val="1"/>
          <w:sz w:val="24"/>
          <w:szCs w:val="24"/>
          <w:rtl w:val="0"/>
          <w:lang w:val="fr-FR"/>
        </w:rPr>
        <w:t>infill</w:t>
      </w:r>
      <w:r>
        <w:rPr>
          <w:rStyle w:val="None"/>
          <w:rFonts w:ascii="Times New Roman" w:hAnsi="Times New Roman"/>
          <w:sz w:val="24"/>
          <w:szCs w:val="24"/>
          <w:rtl w:val="0"/>
          <w:lang w:val="en-US"/>
        </w:rPr>
        <w:t xml:space="preserve"> and </w:t>
      </w:r>
      <w:r>
        <w:rPr>
          <w:rStyle w:val="None"/>
          <w:rFonts w:ascii="Times New Roman" w:hAnsi="Times New Roman"/>
          <w:b w:val="1"/>
          <w:bCs w:val="1"/>
          <w:sz w:val="24"/>
          <w:szCs w:val="24"/>
          <w:rtl w:val="0"/>
          <w:lang w:val="en-US"/>
        </w:rPr>
        <w:t>already zoned</w:t>
      </w:r>
      <w:r>
        <w:rPr>
          <w:rStyle w:val="None"/>
          <w:rFonts w:ascii="Times New Roman" w:hAnsi="Times New Roman"/>
          <w:sz w:val="24"/>
          <w:szCs w:val="24"/>
          <w:rtl w:val="0"/>
          <w:lang w:val="en-US"/>
        </w:rPr>
        <w:t xml:space="preserve"> for residential or mixed-use, following height, density, and design standards set by local governments. </w:t>
      </w:r>
    </w:p>
    <w:p>
      <w:pPr>
        <w:pStyle w:val="Body"/>
        <w:spacing w:line="240" w:lineRule="auto"/>
        <w:rPr>
          <w:rStyle w:val="None"/>
          <w:rFonts w:ascii="Times New Roman" w:cs="Times New Roman" w:hAnsi="Times New Roman" w:eastAsia="Times New Roman"/>
          <w:sz w:val="24"/>
          <w:szCs w:val="24"/>
        </w:rPr>
      </w:pPr>
    </w:p>
    <w:p>
      <w:pPr>
        <w:pStyle w:val="Body"/>
        <w:spacing w:line="240" w:lineRule="auto"/>
        <w:rPr>
          <w:rStyle w:val="None"/>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Style w:val="None"/>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Since its passage in 2017, SB 35 has become an engine of subsidized affordable housing production, leading to the streamlined approval of over </w:t>
      </w:r>
      <w:r>
        <w:rPr>
          <w:rStyle w:val="None"/>
          <w:rFonts w:ascii="Times New Roman" w:hAnsi="Times New Roman"/>
          <w:caps w:val="0"/>
          <w:smallCaps w:val="0"/>
          <w:strike w:val="0"/>
          <w:dstrike w:val="0"/>
          <w:sz w:val="24"/>
          <w:szCs w:val="24"/>
          <w:shd w:val="nil" w:color="auto" w:fill="auto"/>
          <w:vertAlign w:val="baseline"/>
          <w:rtl w:val="0"/>
        </w:rPr>
        <w:t>1</w:t>
      </w:r>
      <w:r>
        <w:rPr>
          <w:rStyle w:val="None"/>
          <w:rFonts w:ascii="Times New Roman" w:hAnsi="Times New Roman"/>
          <w:sz w:val="24"/>
          <w:szCs w:val="24"/>
          <w:rtl w:val="0"/>
        </w:rPr>
        <w:t>1</w:t>
      </w:r>
      <w:r>
        <w:rPr>
          <w:rStyle w:val="None"/>
          <w:rFonts w:ascii="Times New Roman" w:hAnsi="Times New Roman"/>
          <w:caps w:val="0"/>
          <w:smallCaps w:val="0"/>
          <w:strike w:val="0"/>
          <w:dstrike w:val="0"/>
          <w:sz w:val="24"/>
          <w:szCs w:val="24"/>
          <w:shd w:val="nil" w:color="auto" w:fill="auto"/>
          <w:vertAlign w:val="baseline"/>
          <w:rtl w:val="0"/>
          <w:lang w:val="en-US"/>
        </w:rPr>
        <w:t>,000 new homes</w:t>
      </w:r>
      <w:r>
        <w:rPr>
          <w:rStyle w:val="None"/>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most of which are subsidized homes affordable to low-income households. </w:t>
      </w:r>
      <w:r>
        <w:rPr>
          <w:rStyle w:val="None"/>
          <w:rFonts w:ascii="Times New Roman" w:hAnsi="Times New Roman"/>
          <w:sz w:val="24"/>
          <w:szCs w:val="24"/>
          <w:rtl w:val="0"/>
          <w:lang w:val="en-US"/>
        </w:rPr>
        <w:t xml:space="preserve">The law is </w:t>
      </w:r>
      <w:r>
        <w:rPr>
          <w:rStyle w:val="None"/>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set to expire on January 1, 2026. Without an extension, one of the driving forces of affordable housing production will cease. </w:t>
      </w:r>
    </w:p>
    <w:p>
      <w:pPr>
        <w:pStyle w:val="Body"/>
        <w:spacing w:line="240" w:lineRule="auto"/>
        <w:rPr>
          <w:rStyle w:val="None"/>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Body"/>
        <w:spacing w:line="240" w:lineRule="auto"/>
        <w:rPr>
          <w:rStyle w:val="None"/>
          <w:rFonts w:ascii="Times New Roman" w:cs="Times New Roman" w:hAnsi="Times New Roman" w:eastAsia="Times New Roman"/>
          <w:sz w:val="24"/>
          <w:szCs w:val="24"/>
        </w:rPr>
      </w:pPr>
      <w:r>
        <w:rPr>
          <w:rStyle w:val="None"/>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As our state continues to grapple with a housing crisis it would be unconscionable to allow a </w:t>
      </w:r>
      <w:r>
        <w:rPr>
          <w:rStyle w:val="None"/>
          <w:rFonts w:ascii="Times New Roman" w:hAnsi="Times New Roman"/>
          <w:sz w:val="24"/>
          <w:szCs w:val="24"/>
          <w:rtl w:val="0"/>
          <w:lang w:val="en-US"/>
        </w:rPr>
        <w:t xml:space="preserve">successful housing bill, </w:t>
      </w:r>
      <w:r>
        <w:rPr>
          <w:rStyle w:val="None"/>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proven to increase housing production, to lapse. </w:t>
      </w:r>
    </w:p>
    <w:p>
      <w:pPr>
        <w:pStyle w:val="Body"/>
        <w:spacing w:line="240" w:lineRule="auto"/>
        <w:rPr>
          <w:rStyle w:val="None"/>
          <w:rFonts w:ascii="Times New Roman" w:cs="Times New Roman" w:hAnsi="Times New Roman" w:eastAsia="Times New Roman"/>
          <w:sz w:val="24"/>
          <w:szCs w:val="24"/>
        </w:rPr>
      </w:pPr>
    </w:p>
    <w:p>
      <w:pPr>
        <w:pStyle w:val="Body"/>
        <w:spacing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SB 423 improves on the original law in a few ways. The ministerial provisions of the bill will now apply to the coastal zone, but only if the development is infill and the underlying zoning already authorizes housing. This requirement will create parity between more affluent coastal cities and inland cities, and ensure the housing that is desperately needed in these jurisdictions is built and that Californians are not priced out of living in coastal communities.</w:t>
      </w:r>
    </w:p>
    <w:p>
      <w:pPr>
        <w:pStyle w:val="Body"/>
        <w:spacing w:line="240" w:lineRule="auto"/>
        <w:rPr>
          <w:rStyle w:val="None"/>
          <w:rFonts w:ascii="Times New Roman" w:cs="Times New Roman" w:hAnsi="Times New Roman" w:eastAsia="Times New Roman"/>
          <w:sz w:val="24"/>
          <w:szCs w:val="24"/>
        </w:rPr>
      </w:pPr>
    </w:p>
    <w:p>
      <w:pPr>
        <w:pStyle w:val="Body"/>
        <w:spacing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Additionally, SB 423 will create new opportunities for the next generation of construction workers. The bill requires that developers pay a prevailing wage for all projects above 10 units. On projects with 50 units or more, contractors must also offer apprentices employment and pay for health care. This bill also methodically increases the pool of residential construction workers that belong to a skilled and trained workforce by requiring mixed-income projects that are over 85 feet use this type of workforce, as long as the developer receives at least 3 bids. </w:t>
      </w:r>
    </w:p>
    <w:p>
      <w:pPr>
        <w:pStyle w:val="Body"/>
        <w:spacing w:line="240" w:lineRule="auto"/>
        <w:rPr>
          <w:rStyle w:val="None"/>
          <w:rFonts w:ascii="Times New Roman" w:cs="Times New Roman" w:hAnsi="Times New Roman" w:eastAsia="Times New Roman"/>
          <w:sz w:val="24"/>
          <w:szCs w:val="24"/>
        </w:rPr>
      </w:pPr>
    </w:p>
    <w:p>
      <w:pPr>
        <w:pStyle w:val="Body"/>
        <w:spacing w:line="240" w:lineRule="auto"/>
        <w:rPr>
          <w:rStyle w:val="None"/>
          <w:rFonts w:ascii="Times New Roman" w:cs="Times New Roman" w:hAnsi="Times New Roman" w:eastAsia="Times New Roman"/>
          <w:sz w:val="24"/>
          <w:szCs w:val="24"/>
        </w:rPr>
      </w:pPr>
      <w:r>
        <w:rPr>
          <w:rStyle w:val="None"/>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SB 423 is a straightforward solution that will </w:t>
      </w:r>
      <w:r>
        <w:rPr>
          <w:rStyle w:val="None"/>
          <w:rFonts w:ascii="Times New Roman" w:hAnsi="Times New Roman"/>
          <w:sz w:val="24"/>
          <w:szCs w:val="24"/>
          <w:rtl w:val="0"/>
          <w:lang w:val="fr-FR"/>
        </w:rPr>
        <w:t>ensure continued</w:t>
      </w:r>
      <w:r>
        <w:rPr>
          <w:rStyle w:val="None"/>
          <w:rFonts w:ascii="Times New Roman" w:hAnsi="Times New Roman"/>
          <w:caps w:val="0"/>
          <w:smallCaps w:val="0"/>
          <w:strike w:val="0"/>
          <w:dstrike w:val="0"/>
          <w:outline w:val="0"/>
          <w:color w:val="000000"/>
          <w:sz w:val="24"/>
          <w:szCs w:val="24"/>
          <w:u w:val="none" w:color="000000"/>
          <w:shd w:val="nil" w:color="auto" w:fill="auto"/>
          <w:vertAlign w:val="baseline"/>
          <w:rtl w:val="0"/>
          <w14:textFill>
            <w14:solidFill>
              <w14:srgbClr w14:val="000000"/>
            </w14:solidFill>
          </w14:textFill>
        </w:rPr>
        <w:t xml:space="preserve"> </w:t>
      </w:r>
      <w:r>
        <w:rPr>
          <w:rStyle w:val="None"/>
          <w:rFonts w:ascii="Times New Roman" w:hAnsi="Times New Roman"/>
          <w:sz w:val="24"/>
          <w:szCs w:val="24"/>
          <w:rtl w:val="0"/>
          <w:lang w:val="en-US"/>
        </w:rPr>
        <w:t>development of</w:t>
      </w:r>
      <w:r>
        <w:rPr>
          <w:rStyle w:val="None"/>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both 100% deed restricted affordable housing and </w:t>
      </w:r>
      <w:r>
        <w:rPr>
          <w:rStyle w:val="None"/>
          <w:rFonts w:ascii="Times New Roman" w:hAnsi="Times New Roman"/>
          <w:sz w:val="24"/>
          <w:szCs w:val="24"/>
          <w:rtl w:val="0"/>
          <w:lang w:val="en-US"/>
        </w:rPr>
        <w:t xml:space="preserve">housing that is affordable to families of all income levels while also including critical labor standards that will protect and help grow this much needed workforce. </w:t>
      </w:r>
    </w:p>
    <w:p>
      <w:pPr>
        <w:pStyle w:val="Body"/>
        <w:spacing w:line="240" w:lineRule="auto"/>
        <w:rPr>
          <w:rStyle w:val="None"/>
          <w:rFonts w:ascii="Times New Roman" w:cs="Times New Roman" w:hAnsi="Times New Roman" w:eastAsia="Times New Roman"/>
          <w:sz w:val="24"/>
          <w:szCs w:val="24"/>
        </w:rPr>
      </w:pPr>
    </w:p>
    <w:p>
      <w:pPr>
        <w:pStyle w:val="Body"/>
        <w:spacing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For these reasons, [</w:t>
      </w:r>
      <w:r>
        <w:rPr>
          <w:rStyle w:val="None"/>
          <w:rFonts w:ascii="Times New Roman" w:hAnsi="Times New Roman"/>
          <w:sz w:val="24"/>
          <w:szCs w:val="24"/>
          <w:shd w:val="clear" w:color="auto" w:fill="ffff00"/>
          <w:rtl w:val="0"/>
          <w:lang w:val="en-US"/>
        </w:rPr>
        <w:t>YOUR ORGANIZATION</w:t>
      </w:r>
      <w:r>
        <w:rPr>
          <w:rStyle w:val="None"/>
          <w:rFonts w:ascii="Times New Roman" w:hAnsi="Times New Roman"/>
          <w:sz w:val="24"/>
          <w:szCs w:val="24"/>
          <w:rtl w:val="0"/>
          <w:lang w:val="en-US"/>
        </w:rPr>
        <w:t>] supports SB 423 (Wiener).</w:t>
      </w:r>
    </w:p>
    <w:p>
      <w:pPr>
        <w:pStyle w:val="Body"/>
        <w:spacing w:line="240" w:lineRule="auto"/>
        <w:rPr>
          <w:rStyle w:val="None"/>
          <w:rFonts w:ascii="Times New Roman" w:cs="Times New Roman" w:hAnsi="Times New Roman" w:eastAsia="Times New Roman"/>
          <w:sz w:val="24"/>
          <w:szCs w:val="24"/>
        </w:rPr>
      </w:pPr>
    </w:p>
    <w:p>
      <w:pPr>
        <w:pStyle w:val="Body"/>
        <w:spacing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Sincerely,</w:t>
      </w:r>
    </w:p>
    <w:p>
      <w:pPr>
        <w:pStyle w:val="Body"/>
        <w:spacing w:line="240" w:lineRule="auto"/>
        <w:rPr>
          <w:rStyle w:val="None"/>
          <w:rFonts w:ascii="Times New Roman" w:cs="Times New Roman" w:hAnsi="Times New Roman" w:eastAsia="Times New Roman"/>
          <w:sz w:val="24"/>
          <w:szCs w:val="24"/>
        </w:rPr>
      </w:pPr>
    </w:p>
    <w:p>
      <w:pPr>
        <w:pStyle w:val="Body"/>
        <w:spacing w:line="240" w:lineRule="auto"/>
        <w:rPr>
          <w:rStyle w:val="None"/>
          <w:rFonts w:ascii="Times New Roman" w:cs="Times New Roman" w:hAnsi="Times New Roman" w:eastAsia="Times New Roman"/>
          <w:sz w:val="24"/>
          <w:szCs w:val="24"/>
          <w:shd w:val="clear" w:color="auto" w:fill="ffff00"/>
        </w:rPr>
      </w:pPr>
      <w:r>
        <w:rPr>
          <w:rStyle w:val="None"/>
          <w:rFonts w:ascii="Times New Roman" w:hAnsi="Times New Roman"/>
          <w:sz w:val="24"/>
          <w:szCs w:val="24"/>
          <w:shd w:val="clear" w:color="auto" w:fill="ffff00"/>
          <w:rtl w:val="0"/>
          <w:lang w:val="en-US"/>
        </w:rPr>
        <w:t>[Signature]</w:t>
      </w:r>
    </w:p>
    <w:p>
      <w:pPr>
        <w:pStyle w:val="Body"/>
        <w:spacing w:line="240" w:lineRule="auto"/>
        <w:rPr>
          <w:rStyle w:val="None"/>
          <w:rFonts w:ascii="Times New Roman" w:cs="Times New Roman" w:hAnsi="Times New Roman" w:eastAsia="Times New Roman"/>
          <w:sz w:val="24"/>
          <w:szCs w:val="24"/>
          <w:shd w:val="clear" w:color="auto" w:fill="ffff00"/>
        </w:rPr>
      </w:pPr>
      <w:r>
        <w:rPr>
          <w:rStyle w:val="None"/>
          <w:rFonts w:ascii="Times New Roman" w:hAnsi="Times New Roman"/>
          <w:sz w:val="24"/>
          <w:szCs w:val="24"/>
          <w:shd w:val="clear" w:color="auto" w:fill="ffff00"/>
          <w:rtl w:val="0"/>
          <w:lang w:val="en-US"/>
        </w:rPr>
        <w:t>[Typed Name]</w:t>
      </w:r>
    </w:p>
    <w:p>
      <w:pPr>
        <w:pStyle w:val="Body"/>
        <w:spacing w:line="240" w:lineRule="auto"/>
        <w:rPr>
          <w:rStyle w:val="None"/>
          <w:rFonts w:ascii="Times New Roman" w:cs="Times New Roman" w:hAnsi="Times New Roman" w:eastAsia="Times New Roman"/>
          <w:sz w:val="24"/>
          <w:szCs w:val="24"/>
          <w:shd w:val="clear" w:color="auto" w:fill="ffff00"/>
        </w:rPr>
      </w:pPr>
      <w:r>
        <w:rPr>
          <w:rStyle w:val="None"/>
          <w:rFonts w:ascii="Times New Roman" w:hAnsi="Times New Roman"/>
          <w:sz w:val="24"/>
          <w:szCs w:val="24"/>
          <w:shd w:val="clear" w:color="auto" w:fill="ffff00"/>
          <w:rtl w:val="0"/>
          <w:lang w:val="en-US"/>
        </w:rPr>
        <w:t>[Title, Organization]</w:t>
      </w:r>
    </w:p>
    <w:p>
      <w:pPr>
        <w:pStyle w:val="Body"/>
        <w:spacing w:line="240" w:lineRule="auto"/>
        <w:rPr>
          <w:rStyle w:val="None"/>
          <w:rFonts w:ascii="Times New Roman" w:cs="Times New Roman" w:hAnsi="Times New Roman" w:eastAsia="Times New Roman"/>
          <w:sz w:val="24"/>
          <w:szCs w:val="24"/>
        </w:rPr>
      </w:pPr>
    </w:p>
    <w:p>
      <w:pPr>
        <w:pStyle w:val="Body"/>
        <w:spacing w:line="240" w:lineRule="auto"/>
      </w:pPr>
      <w:r>
        <w:rPr>
          <w:rStyle w:val="None"/>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Garamond" w:cs="Garamond" w:hAnsi="Garamond" w:eastAsia="Garamond"/>
      <w:outline w:val="0"/>
      <w:color w:val="0000ff"/>
      <w:sz w:val="24"/>
      <w:szCs w:val="24"/>
      <w:u w:val="single" w:color="0000ff"/>
      <w:shd w:val="clear" w:color="auto" w:fill="ffff00"/>
      <w14:textFill>
        <w14:solidFill>
          <w14:srgbClr w14:val="0000FF"/>
        </w14:solidFill>
      </w14:textFill>
    </w:rPr>
  </w:style>
  <w:style w:type="character" w:styleId="Hyperlink.1">
    <w:name w:val="Hyperlink.1"/>
    <w:basedOn w:val="None"/>
    <w:next w:val="Hyperlink.1"/>
    <w:rPr>
      <w:rFonts w:ascii="Garamond" w:cs="Garamond" w:hAnsi="Garamond" w:eastAsia="Garamond"/>
      <w:outline w:val="0"/>
      <w:color w:val="0000ff"/>
      <w:u w:val="single" w:color="0000ff"/>
      <w:shd w:val="clear" w:color="auto" w:fill="ffff00"/>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